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33" w:rsidRPr="0007766E" w:rsidRDefault="007B598C" w:rsidP="007B598C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  <w:lang w:val="uk-UA"/>
        </w:rPr>
      </w:pPr>
      <w:r w:rsidRPr="0007766E">
        <w:rPr>
          <w:rFonts w:ascii="Times New Roman" w:hAnsi="Times New Roman" w:cs="Times New Roman"/>
          <w:b/>
          <w:color w:val="4F6228" w:themeColor="accent3" w:themeShade="80"/>
          <w:sz w:val="44"/>
          <w:szCs w:val="44"/>
          <w:lang w:val="uk-UA"/>
        </w:rPr>
        <w:t>Пам’ятка щодо особливостей формування та зберігання реєстраційних справ в сфері державної реєстрації речових прав на нерухоме майно та юридичних осіб, фізичних осіб-підприємців</w:t>
      </w:r>
    </w:p>
    <w:p w:rsidR="007B598C" w:rsidRPr="0007766E" w:rsidRDefault="00B33D4A" w:rsidP="000776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3D4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left:0;text-align:left;margin-left:397.8pt;margin-top:4.2pt;width:339.75pt;height:156pt;z-index:2516684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8">
              <w:txbxContent>
                <w:p w:rsidR="009B34DA" w:rsidRPr="009B34DA" w:rsidRDefault="009B34DA" w:rsidP="009B34D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Згідно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статті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Закону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речових прав на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нерухоме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майно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обтяжень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 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паперовій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здійснюється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виключно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виконавчими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органами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</w:t>
                  </w:r>
                  <w:proofErr w:type="gram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spellEnd"/>
                  <w:proofErr w:type="gram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обласного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республіканського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Автономної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Республіки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Крим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Київською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Севастопольською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міськими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районними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районними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містах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Киє</w:t>
                  </w:r>
                  <w:proofErr w:type="gram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Севастополі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державними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адміністраціями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місцезнаходженням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відповідного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майна.</w:t>
                  </w:r>
                </w:p>
              </w:txbxContent>
            </v:textbox>
          </v:roundrect>
        </w:pict>
      </w:r>
    </w:p>
    <w:p w:rsidR="0007766E" w:rsidRDefault="00B33D4A" w:rsidP="007B598C">
      <w:pPr>
        <w:tabs>
          <w:tab w:val="left" w:pos="95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margin-left:397.8pt;margin-top:181.95pt;width:339.75pt;height:191.25pt;z-index:2516695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9">
              <w:txbxContent>
                <w:p w:rsidR="00BA73C2" w:rsidRPr="00BA73C2" w:rsidRDefault="00BA73C2" w:rsidP="00BA73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статті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 Закону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«Про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фізичних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proofErr w:type="gram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ідприємців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громадських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формувань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реєстраційна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справа в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паперовій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формі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зберігається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суб’єкта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державної реєстрації за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місцезнаходженням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громадського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 –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підприємця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 (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крім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громадського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та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 - </w:t>
                  </w:r>
                  <w:proofErr w:type="spellStart"/>
                  <w:proofErr w:type="gram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ідприємця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у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виконавчих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органах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ради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міст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обласного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республіканського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Автономної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Республіки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Крим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Київській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Севастопольській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міських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районних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районних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містах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Києві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Севастополі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державних </w:t>
                  </w:r>
                  <w:proofErr w:type="spellStart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адміністраціях</w:t>
                  </w:r>
                  <w:proofErr w:type="spellEnd"/>
                  <w:r w:rsidRPr="00BA7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621A6A" w:rsidRPr="00621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4210050"/>
            <wp:effectExtent l="19050" t="0" r="0" b="0"/>
            <wp:docPr id="4" name="Рисунок 2" descr="зна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98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6059E" w:rsidRDefault="006E1817" w:rsidP="007B598C">
      <w:pPr>
        <w:tabs>
          <w:tab w:val="left" w:pos="95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33D4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roundrect id="_x0000_s1027" style="position:absolute;margin-left:-12.45pt;margin-top:-23pt;width:340.5pt;height:313.5pt;z-index:2516582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64222B" w:rsidRDefault="007B598C" w:rsidP="0064222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B598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Вимоги до формування реєстраційних справ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містяться у розділі ІІ Порядку</w:t>
                  </w:r>
                  <w:r w:rsidRPr="007B598C">
                    <w:rPr>
                      <w:lang w:val="uk-UA"/>
                    </w:rPr>
                    <w:t xml:space="preserve"> </w:t>
                  </w:r>
                  <w:r w:rsidRPr="007B598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формування та зберігання реєстраційних справ, затвердженим наказом Міністерства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юстиції України від 18.11.2016 </w:t>
                  </w:r>
                  <w:r w:rsidR="006422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№ 3267/5.</w:t>
                  </w:r>
                </w:p>
                <w:p w:rsidR="007B598C" w:rsidRPr="007B598C" w:rsidRDefault="0064222B" w:rsidP="0064222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</w:t>
                  </w:r>
                  <w:r w:rsidR="007B598C" w:rsidRPr="007B598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еєстраційна справа формується у паперовій формі після відкриття розділу на об’єкт нерухомого майна у Державному реєстрі речових прав на нерухоме майно (далі - Державний реєстр прав) та внесення до нього відповідних відомостей, внесення до Єдиного державного реєстру юридичних осіб, фізичних осіб - підприємців та громадських формувань (далі - Єдиний державний реєстр) запису про державну реєстрацію створення юридичної особи, громадського формування, що не має статусу юридичної особи, державну реєстрацію фізичної особи - підприємця і державну реєстрацію включення відомостей про юридичну особу та фізичну особу - підприємця державним реєстратором прав на нерухоме майно, державним реєстратором, яким здійснено зазначені дії.</w:t>
                  </w:r>
                </w:p>
              </w:txbxContent>
            </v:textbox>
          </v:roundrect>
        </w:pict>
      </w:r>
      <w:r w:rsidR="00B33D4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410.55pt;margin-top:-6.5pt;width:333.75pt;height:92.25pt;z-index:2516602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7766E" w:rsidRPr="0007766E" w:rsidRDefault="0007766E" w:rsidP="0066059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Формування реєстраційної справи передбачає нумерацію аркушів у справі, складання внутрішнього опису документів справи,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засвідчувального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напису справи, оправлення справи, оформлення обкладинки (титульного аркуша) справи.</w:t>
                  </w:r>
                </w:p>
              </w:txbxContent>
            </v:textbox>
          </v:roundrect>
        </w:pict>
      </w: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B33D4A" w:rsidP="006605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410.55pt;margin-top:24.2pt;width:333.75pt;height:109.5pt;z-index:2516613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7766E" w:rsidRDefault="0007766E" w:rsidP="0066059E">
                  <w:pPr>
                    <w:spacing w:after="0" w:line="240" w:lineRule="auto"/>
                    <w:ind w:firstLine="709"/>
                    <w:jc w:val="both"/>
                  </w:pPr>
                  <w:proofErr w:type="gramStart"/>
                  <w:r w:rsidRPr="0007766E">
                    <w:rPr>
                      <w:rFonts w:ascii="Times New Roman" w:hAnsi="Times New Roman" w:cs="Times New Roman"/>
                    </w:rPr>
                    <w:t>З</w:t>
                  </w:r>
                  <w:proofErr w:type="gramEnd"/>
                  <w:r w:rsidRPr="000776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метою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розташування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реєстраційній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крім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аркушів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опису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засвідчувального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напису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нумеруються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арабськими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цифрами валовою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нумерацією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правому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верхньому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простим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м'яким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олівцем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B33D4A" w:rsidP="006605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415.05pt;margin-top:21.15pt;width:333.75pt;height:80.25pt;z-index:2516623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7766E" w:rsidRPr="0007766E" w:rsidRDefault="0007766E" w:rsidP="0066059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Аркуші справ, що складаються з декількох томів або частин, нумеруються в кожному томі (частині) окремо. Реєстраційна справа не повинна перевищувати 250 аркушів (не більше 40 мм завтовшки).</w:t>
                  </w:r>
                </w:p>
              </w:txbxContent>
            </v:textbox>
          </v:roundrect>
        </w:pict>
      </w: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Pr="0066059E" w:rsidRDefault="006E1817" w:rsidP="006605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.3pt;margin-top:7.6pt;width:333.75pt;height:96.75pt;z-index:25165926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07766E" w:rsidRPr="0007766E" w:rsidRDefault="0007766E" w:rsidP="0066059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коли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забезпечувала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уповноважена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особа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фронт-офісу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реєстраційна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справа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формується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посадовою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особою</w:t>
                  </w:r>
                  <w:proofErr w:type="gram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відповідного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суб’єкта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xbxContent>
            </v:textbox>
          </v:roundrect>
        </w:pict>
      </w:r>
    </w:p>
    <w:p w:rsidR="0066059E" w:rsidRPr="0066059E" w:rsidRDefault="00B33D4A" w:rsidP="006605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margin-left:418.05pt;margin-top:15.1pt;width:326.25pt;height:100.5pt;z-index:2516633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7766E" w:rsidRPr="0007766E" w:rsidRDefault="0007766E" w:rsidP="009B34D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Внутрішній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складається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окремому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встановленою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формою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містить</w:t>
                  </w:r>
                  <w:proofErr w:type="spellEnd"/>
                  <w:proofErr w:type="gram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відомості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порядкові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індекси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заголовки та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аркушів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розташований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кожен</w:t>
                  </w:r>
                  <w:proofErr w:type="spellEnd"/>
                  <w:r w:rsidRPr="00077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документ.</w:t>
                  </w:r>
                </w:p>
              </w:txbxContent>
            </v:textbox>
          </v:roundrect>
        </w:pict>
      </w:r>
    </w:p>
    <w:p w:rsidR="0066059E" w:rsidRP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Default="0066059E" w:rsidP="006605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59E" w:rsidRDefault="0066059E" w:rsidP="0066059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4222B" w:rsidRDefault="006E1817" w:rsidP="00BA73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3" style="position:absolute;margin-left:406.05pt;margin-top:254.5pt;width:333pt;height:141pt;z-index:25167257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64222B" w:rsidRPr="009B34DA" w:rsidRDefault="0064222B" w:rsidP="0064222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передачі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іншого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суб’єкта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посадовою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особою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із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справ, яка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отримала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справу,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вносяться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зміни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обкладинки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щодо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суб’єкта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справ, шляхом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викладення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її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новій</w:t>
                  </w:r>
                  <w:proofErr w:type="spellEnd"/>
                  <w:proofErr w:type="gram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редакції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7A540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432.3pt;margin-top:419.5pt;width:273.75pt;height:60pt;z-index:251670528">
            <v:textbox style="mso-next-textbox:#_x0000_s1040">
              <w:txbxContent>
                <w:p w:rsidR="00BA73C2" w:rsidRPr="00BA73C2" w:rsidRDefault="00BA73C2" w:rsidP="00BA7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Затверджено протоколом управління державної реєстрації Головного територіального управління юстиції в Одеській області від 05.03.2018 №3</w:t>
                  </w:r>
                </w:p>
              </w:txbxContent>
            </v:textbox>
          </v:rect>
        </w:pict>
      </w:r>
      <w:r w:rsidR="007A540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margin-left:-9.45pt;margin-top:403.75pt;width:349.5pt;height:98.25pt;z-index:2516674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7">
              <w:txbxContent>
                <w:p w:rsidR="009B34DA" w:rsidRPr="009B34DA" w:rsidRDefault="009B34DA" w:rsidP="009B34D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Документи реєстраційної справи систематизуються у хронологічному порядку за часом їх надходження таким чином, щоб документи, які надійшли раніше, знаходились на початку, а документи, які надійшли пізніше, - наприкінці реєстраційної справи.</w:t>
                  </w:r>
                </w:p>
              </w:txbxContent>
            </v:textbox>
          </v:roundrect>
        </w:pict>
      </w:r>
      <w:r w:rsidR="00B33D4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402.3pt;margin-top:15.25pt;width:349.5pt;height:218.25pt;z-index:2516715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2">
              <w:txbxContent>
                <w:p w:rsidR="0064222B" w:rsidRPr="009B34DA" w:rsidRDefault="0064222B" w:rsidP="0064222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закриття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відкритої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об’єкт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нерухомого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майна,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Єдиного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громадського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ідприємницької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 -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підприємця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суб’єктами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справ, на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окремому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складається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засвідчувальний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(журналу),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вміщується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наприкінці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друкованих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примірниках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 (</w:t>
                  </w:r>
                  <w:proofErr w:type="spellStart"/>
                  <w:proofErr w:type="gram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</w:t>
                  </w:r>
                  <w:proofErr w:type="gram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ікові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звіти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тощо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- на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звороті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останнього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чистого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аркуша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B33D4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margin-left:-9.45pt;margin-top:262.75pt;width:349.5pt;height:126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6">
              <w:txbxContent>
                <w:p w:rsidR="009B34DA" w:rsidRPr="009B34DA" w:rsidRDefault="009B34DA" w:rsidP="009B34D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передачі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іншого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суб’єкта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посадовою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особою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із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справ, яка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отримала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реєстраційну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справу,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вносяться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зміни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обкладинки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такої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справи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щодо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суб’єкта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справ, шляхом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викладення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її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новій</w:t>
                  </w:r>
                  <w:proofErr w:type="spellEnd"/>
                  <w:proofErr w:type="gram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редакції</w:t>
                  </w:r>
                  <w:proofErr w:type="spellEnd"/>
                  <w:r w:rsidRPr="009B34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B33D4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-13.2pt;margin-top:-7.25pt;width:361.5pt;height:255pt;z-index:2516643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3">
              <w:txbxContent>
                <w:p w:rsidR="0066059E" w:rsidRPr="0066059E" w:rsidRDefault="0066059E" w:rsidP="009B34D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закриття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відкритої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об’єкт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нерухомого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майна,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Єдиного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громадського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статусу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ідприємницької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 -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підприємця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суб’єктами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реєстраційних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справ, до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складається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ідсумковий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якому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наводяться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цифрами та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літерами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включені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аркушів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реєстраційної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аркушів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Внутрішній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ідписується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укладачем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Якщо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справу оправлено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попередньо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бланк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опису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ідклеюється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боку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лицьової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обкладинки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справи</w:t>
                  </w:r>
                  <w:proofErr w:type="spellEnd"/>
                  <w:r w:rsidRPr="0066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sectPr w:rsidR="0064222B" w:rsidSect="007B59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8E" w:rsidRDefault="0051598E" w:rsidP="0066059E">
      <w:pPr>
        <w:spacing w:after="0" w:line="240" w:lineRule="auto"/>
      </w:pPr>
      <w:r>
        <w:separator/>
      </w:r>
    </w:p>
  </w:endnote>
  <w:endnote w:type="continuationSeparator" w:id="0">
    <w:p w:rsidR="0051598E" w:rsidRDefault="0051598E" w:rsidP="006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8E" w:rsidRDefault="0051598E" w:rsidP="0066059E">
      <w:pPr>
        <w:spacing w:after="0" w:line="240" w:lineRule="auto"/>
      </w:pPr>
      <w:r>
        <w:separator/>
      </w:r>
    </w:p>
  </w:footnote>
  <w:footnote w:type="continuationSeparator" w:id="0">
    <w:p w:rsidR="0051598E" w:rsidRDefault="0051598E" w:rsidP="00660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98C"/>
    <w:rsid w:val="0007766E"/>
    <w:rsid w:val="000F4BBC"/>
    <w:rsid w:val="00307333"/>
    <w:rsid w:val="00462311"/>
    <w:rsid w:val="0051598E"/>
    <w:rsid w:val="00573CB1"/>
    <w:rsid w:val="00587983"/>
    <w:rsid w:val="00621A6A"/>
    <w:rsid w:val="00641453"/>
    <w:rsid w:val="0064222B"/>
    <w:rsid w:val="0066059E"/>
    <w:rsid w:val="00676195"/>
    <w:rsid w:val="00681E6B"/>
    <w:rsid w:val="006E1817"/>
    <w:rsid w:val="00764724"/>
    <w:rsid w:val="007A0B5C"/>
    <w:rsid w:val="007A5403"/>
    <w:rsid w:val="007B598C"/>
    <w:rsid w:val="00904EB7"/>
    <w:rsid w:val="009B34DA"/>
    <w:rsid w:val="00A009BF"/>
    <w:rsid w:val="00B33D4A"/>
    <w:rsid w:val="00BA73C2"/>
    <w:rsid w:val="00CF0EC8"/>
    <w:rsid w:val="00D16D64"/>
    <w:rsid w:val="00DD342A"/>
    <w:rsid w:val="00F7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8C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6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059E"/>
  </w:style>
  <w:style w:type="paragraph" w:styleId="a7">
    <w:name w:val="footer"/>
    <w:basedOn w:val="a"/>
    <w:link w:val="a8"/>
    <w:uiPriority w:val="99"/>
    <w:semiHidden/>
    <w:unhideWhenUsed/>
    <w:rsid w:val="0066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077CC-04AA-43C2-AA6A-1579A895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</dc:creator>
  <cp:lastModifiedBy>Дмитрий</cp:lastModifiedBy>
  <cp:revision>3</cp:revision>
  <cp:lastPrinted>2019-01-04T07:06:00Z</cp:lastPrinted>
  <dcterms:created xsi:type="dcterms:W3CDTF">2019-01-04T07:29:00Z</dcterms:created>
  <dcterms:modified xsi:type="dcterms:W3CDTF">2019-01-04T08:11:00Z</dcterms:modified>
</cp:coreProperties>
</file>